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A2EB">
      <w:pPr>
        <w:spacing w:before="45" w:line="200" w:lineRule="exact"/>
        <w:ind w:left="123"/>
        <w:rPr>
          <w:rFonts w:ascii="黑体" w:hAnsi="黑体" w:eastAsia="黑体" w:cs="黑体"/>
          <w:sz w:val="22"/>
          <w:szCs w:val="22"/>
          <w:lang w:eastAsia="zh-CN"/>
        </w:rPr>
      </w:pPr>
      <w:r>
        <w:rPr>
          <w:rFonts w:ascii="黑体" w:hAnsi="黑体" w:eastAsia="黑体" w:cs="黑体"/>
          <w:b/>
          <w:bCs/>
          <w:spacing w:val="16"/>
          <w:sz w:val="22"/>
          <w:szCs w:val="22"/>
          <w:lang w:eastAsia="zh-CN"/>
        </w:rPr>
        <w:t>附件2</w:t>
      </w:r>
    </w:p>
    <w:p w14:paraId="1F3F9827">
      <w:pPr>
        <w:spacing w:before="81" w:line="200" w:lineRule="exact"/>
        <w:ind w:left="2459"/>
        <w:outlineLvl w:val="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eastAsia="zh-CN"/>
        </w:rPr>
        <w:t>中央</w:t>
      </w:r>
      <w:r>
        <w:rPr>
          <w:rFonts w:ascii="宋体" w:hAnsi="宋体" w:eastAsia="宋体" w:cs="宋体"/>
          <w:b/>
          <w:bCs/>
          <w:spacing w:val="23"/>
          <w:sz w:val="27"/>
          <w:szCs w:val="27"/>
          <w:lang w:eastAsia="zh-CN"/>
        </w:rPr>
        <w:t>转移支付区域(项目)绩效自评表</w:t>
      </w:r>
    </w:p>
    <w:p w14:paraId="22691359">
      <w:pPr>
        <w:spacing w:before="159" w:line="200" w:lineRule="exact"/>
        <w:ind w:left="4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tbl>
      <w:tblPr>
        <w:tblStyle w:val="2"/>
        <w:tblW w:w="9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157"/>
        <w:gridCol w:w="1437"/>
        <w:gridCol w:w="1207"/>
        <w:gridCol w:w="1165"/>
        <w:gridCol w:w="1155"/>
        <w:gridCol w:w="1206"/>
        <w:gridCol w:w="350"/>
        <w:gridCol w:w="486"/>
        <w:gridCol w:w="178"/>
        <w:gridCol w:w="646"/>
      </w:tblGrid>
      <w:tr w14:paraId="37DB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转移支付(项目)名称</w:t>
            </w:r>
          </w:p>
        </w:tc>
        <w:tc>
          <w:tcPr>
            <w:tcW w:w="7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农村危房改造补助资金</w:t>
            </w:r>
          </w:p>
        </w:tc>
      </w:tr>
      <w:tr w14:paraId="2225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中央主管部门</w:t>
            </w:r>
          </w:p>
        </w:tc>
        <w:tc>
          <w:tcPr>
            <w:tcW w:w="7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住建部</w:t>
            </w:r>
          </w:p>
        </w:tc>
      </w:tr>
      <w:tr w14:paraId="412A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地方主管部门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内蒙古自治区住建厅</w:t>
            </w:r>
          </w:p>
        </w:tc>
        <w:tc>
          <w:tcPr>
            <w:tcW w:w="5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资金使用单位：乌兰浩特市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城建项目建设中心</w:t>
            </w:r>
          </w:p>
        </w:tc>
      </w:tr>
      <w:tr w14:paraId="0892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资金投入情况</w:t>
            </w:r>
          </w:p>
          <w:p w14:paraId="3FD2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(万元)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D4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全年预算数(A)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全年执行数(B)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预算执行率</w:t>
            </w:r>
          </w:p>
          <w:p w14:paraId="1DFD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(B/A×100%)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snapToGrid w:val="0"/>
                <w:color w:val="000000"/>
                <w:lang w:val="en-US" w:eastAsia="zh-CN" w:bidi="ar"/>
              </w:rPr>
              <w:t>分数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snapToGrid w:val="0"/>
                <w:color w:val="000000"/>
                <w:lang w:val="en-US" w:eastAsia="zh-CN" w:bidi="ar"/>
              </w:rPr>
              <w:t>得分</w:t>
            </w:r>
          </w:p>
        </w:tc>
      </w:tr>
      <w:tr w14:paraId="58E5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A0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年度资金总额：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7.20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7C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F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其中：中央财政资金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7.20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0C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DB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C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地方财政资金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83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DA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其他资金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E9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资金管理情况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C8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情况说明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存在问题和改进措施</w:t>
            </w:r>
          </w:p>
        </w:tc>
      </w:tr>
      <w:tr w14:paraId="0EA6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38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分配科学性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5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该项目资金严格按照上级指示，结合上级文件制定了本级项目实施方案，根据实施方案进行了资金分配。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45CB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43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下达及时性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项目资金下达及时。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023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A1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拨付合规性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项目资金拨付严格按照当地财政部门要求进行拨付。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5CD3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EC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使用规范性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项目资金使用规范，根据财政部门相关工作要求及项目实施方案进行使用，使用规范。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7DC3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91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5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执行准确性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项目资金执行严格按照上级文件及项目实施方案进行执行。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6D57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3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A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预算绩效管理情况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该项目为上级预算项目，项目资金下达后，我局根据财政部门要求，增加项目库，追加项目资金。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7504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DC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支出责任履行情况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我单位严格按照“谁采购谁负责”的原则，在项目资金支出时又经手人、财务负责人、分管主任及主任层层把关，确保项目支付合理合法。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63B4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总体</w:t>
            </w:r>
          </w:p>
          <w:p w14:paraId="4504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目标</w:t>
            </w:r>
          </w:p>
          <w:p w14:paraId="1A36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完成</w:t>
            </w:r>
          </w:p>
          <w:p w14:paraId="51FC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情况</w:t>
            </w:r>
          </w:p>
        </w:tc>
        <w:tc>
          <w:tcPr>
            <w:tcW w:w="4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总体目标</w:t>
            </w:r>
          </w:p>
        </w:tc>
        <w:tc>
          <w:tcPr>
            <w:tcW w:w="5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全年实际完成情况</w:t>
            </w:r>
          </w:p>
        </w:tc>
      </w:tr>
      <w:tr w14:paraId="4803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E2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上级资金，完成2023年农村危房改造上级下达拟任务户14户，下达资金8.4万元，根据危房改造方案，对我市农村六类人员危房进行改造，计划5月开工建设，10底前竣工验收，入住，12月发放补助资金后经审查由于两户不符合危房改造计划，调整为12户，收回资金1.2万元。</w:t>
            </w:r>
          </w:p>
        </w:tc>
        <w:tc>
          <w:tcPr>
            <w:tcW w:w="5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2023年农村危房改造上级下达拟任务户14户，下达资金8.4万元，根据危房改造方案，对我市农村六类人员危房进行改造，计划5月开工建设，10底前竣工验收，入住，12月发放补助资金后经审查由于两户不符合危房改造计划，调整为12户，收回资金1.2万元。资金结转2024年发放。</w:t>
            </w:r>
            <w:bookmarkStart w:id="0" w:name="_GoBack"/>
            <w:bookmarkEnd w:id="0"/>
          </w:p>
        </w:tc>
      </w:tr>
      <w:tr w14:paraId="2A9E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B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绩效指标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一级</w:t>
            </w:r>
          </w:p>
          <w:p w14:paraId="5E29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二级指标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三级指标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指标值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全年实际完</w:t>
            </w:r>
          </w:p>
          <w:p w14:paraId="6E3D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成值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未完成原因和改进措施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snapToGrid w:val="0"/>
                <w:color w:val="000000"/>
                <w:lang w:val="en-US" w:eastAsia="zh-CN" w:bidi="ar"/>
              </w:rPr>
              <w:t>分数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snapToGrid w:val="0"/>
                <w:color w:val="000000"/>
                <w:lang w:val="en-US" w:eastAsia="zh-CN" w:bidi="ar"/>
              </w:rPr>
              <w:t>得分</w:t>
            </w:r>
          </w:p>
        </w:tc>
      </w:tr>
      <w:tr w14:paraId="614C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1BB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6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产出指标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数量指标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危房改造补助户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12户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5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2061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862EF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950B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E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补助资金分发批次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21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4F8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2A77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E46B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工程质量达标率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44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F40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51EA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5CB9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33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补贴资金发放完成率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6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827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D579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7133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时效指标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危房改造施工期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2023年5月-2023年10月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02023年5月-2023年10月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A9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7DCD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ED81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7DF85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5CB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补助资金发放期限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45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E9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05AB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AF420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成本指标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上级专项补助资金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7.2万元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7.2万元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34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67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77F7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1703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9A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危房改造补助标准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6000元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76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E4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3DA32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14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效益指标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F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D8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F88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7B70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7D55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保障居民住房安全题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F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</w:tr>
      <w:tr w14:paraId="72D6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BB04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C32A6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CF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092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7302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8F77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增强住房可持续性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3C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</w:tr>
      <w:tr w14:paraId="04C9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134E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满意</w:t>
            </w:r>
          </w:p>
          <w:p w14:paraId="007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度指</w:t>
            </w:r>
          </w:p>
          <w:p w14:paraId="0AAB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服务对象</w:t>
            </w:r>
          </w:p>
          <w:p w14:paraId="5253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满意度指标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E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EF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 w14:paraId="6D12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068ED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D358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总分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</w:tr>
      <w:tr w14:paraId="14D4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8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说明</w:t>
            </w:r>
          </w:p>
        </w:tc>
        <w:tc>
          <w:tcPr>
            <w:tcW w:w="94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08F2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 w14:paraId="3278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 w14:paraId="1672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487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3. 全年执行数是指按照国库集中支付制度要求所形成的实际支出。</w:t>
            </w:r>
          </w:p>
        </w:tc>
      </w:tr>
    </w:tbl>
    <w:p w14:paraId="275861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DJkYTIwZWU0ZTY1MmIwZmNlYmFmODlhN2Y5MTMifQ=="/>
  </w:docVars>
  <w:rsids>
    <w:rsidRoot w:val="1D38162E"/>
    <w:rsid w:val="19344E7A"/>
    <w:rsid w:val="1D38162E"/>
    <w:rsid w:val="3D2518E1"/>
    <w:rsid w:val="576B600F"/>
    <w:rsid w:val="788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6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1311</Characters>
  <Lines>0</Lines>
  <Paragraphs>0</Paragraphs>
  <TotalTime>14</TotalTime>
  <ScaleCrop>false</ScaleCrop>
  <LinksUpToDate>false</LinksUpToDate>
  <CharactersWithSpaces>1323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2024-03-27T02:55:00Z</dcterms:created>
  <dc:creator>马红玲</dc:creator>
  <cp:lastModifiedBy>白婧心</cp:lastModifiedBy>
  <dcterms:modified xsi:type="dcterms:W3CDTF">2024-06-21T08:25:37Z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FAA028397D424FD2BCEDC2C8EE6F66A0_13</vt:lpwstr>
  </property>
</Properties>
</file>